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/>
      </w:pPr>
      <w:r>
        <w:rPr>
          <w:b/>
          <w:color w:val="1B2A3D"/>
          <w:sz w:val="32"/>
        </w:rPr>
        <w:t>The New Michigan Clerk's First 90 Days</w:t>
      </w:r>
    </w:p>
    <w:p>
      <w:r>
        <w:rPr>
          <w:i/>
          <w:sz w:val="22"/>
        </w:rPr>
        <w:t>A compliance-first checklist for taking over the office mid-cycle.</w:t>
      </w:r>
    </w:p>
    <w:p>
      <w:pPr>
        <w:spacing w:before="240"/>
      </w:pPr>
      <w:r>
        <w:rPr>
          <w:b/>
          <w:color w:val="1B2A3D"/>
          <w:sz w:val="26"/>
        </w:rPr>
        <w:t>Week 1: locate and secure</w:t>
      </w:r>
    </w:p>
    <w:p>
      <w:pPr>
        <w:pStyle w:val="ListBullet"/>
      </w:pPr>
      <w:r>
        <w:rPr>
          <w:sz w:val="21"/>
        </w:rPr>
        <w:t>Find the FOIA log (or start one today) and identify every request with an open statutory deadline</w:t>
      </w:r>
    </w:p>
    <w:p>
      <w:pPr>
        <w:pStyle w:val="ListBullet"/>
      </w:pPr>
      <w:r>
        <w:rPr>
          <w:sz w:val="21"/>
        </w:rPr>
        <w:t>Locate the body's FOIA procedures and guidelines and the written public summary (required by MCL 15.234)</w:t>
      </w:r>
    </w:p>
    <w:p>
      <w:pPr>
        <w:pStyle w:val="ListBullet"/>
      </w:pPr>
      <w:r>
        <w:rPr>
          <w:sz w:val="21"/>
        </w:rPr>
        <w:t>Confirm who is designated FOIA coordinator (MCL 15.236) and whether that designation needs updating</w:t>
      </w:r>
    </w:p>
    <w:p>
      <w:pPr>
        <w:pStyle w:val="ListBullet"/>
      </w:pPr>
      <w:r>
        <w:rPr>
          <w:sz w:val="21"/>
        </w:rPr>
        <w:t>Locate the posted annual meeting schedule for every public body you serve (MCL 15.265(2))</w:t>
      </w:r>
    </w:p>
    <w:p>
      <w:pPr>
        <w:pStyle w:val="ListBullet"/>
      </w:pPr>
      <w:r>
        <w:rPr>
          <w:sz w:val="21"/>
        </w:rPr>
        <w:t>Find the minutes archive: approved minutes, proposed minutes awaiting approval, and closed-session minutes (kept separately, MCL 15.267(2))</w:t>
      </w:r>
    </w:p>
    <w:p>
      <w:pPr>
        <w:pStyle w:val="ListBullet"/>
      </w:pPr>
      <w:r>
        <w:rPr>
          <w:sz w:val="21"/>
        </w:rPr>
        <w:t>Inventory logins: website CMS, email, records systems, bank portals, state filing portals</w:t>
      </w:r>
    </w:p>
    <w:p>
      <w:pPr>
        <w:spacing w:before="240"/>
      </w:pPr>
      <w:r>
        <w:rPr>
          <w:b/>
          <w:color w:val="1B2A3D"/>
          <w:sz w:val="26"/>
        </w:rPr>
        <w:t>Weeks 2-4: stabilize the clock</w:t>
      </w:r>
    </w:p>
    <w:p>
      <w:pPr>
        <w:pStyle w:val="ListBullet"/>
      </w:pPr>
      <w:r>
        <w:rPr>
          <w:sz w:val="21"/>
        </w:rPr>
        <w:t>Calendar every known statutory deadline: FOIA responses due, minutes deadlines (8 business days proposed / 5 business days after approval, MCL 15.269), notice deadlines for upcoming special meetings (18 hours, MCL 15.265(4))</w:t>
      </w:r>
    </w:p>
    <w:p>
      <w:pPr>
        <w:pStyle w:val="ListBullet"/>
      </w:pPr>
      <w:r>
        <w:rPr>
          <w:sz w:val="21"/>
        </w:rPr>
        <w:t>Verify the current FOIA fee schedule uses the current state minimum wage for the contractor/redaction cap (recalculated each January)</w:t>
      </w:r>
    </w:p>
    <w:p>
      <w:pPr>
        <w:pStyle w:val="ListBullet"/>
      </w:pPr>
      <w:r>
        <w:rPr>
          <w:sz w:val="21"/>
        </w:rPr>
        <w:t>Review the last 6 months of FOIA responses for open extensions or unpaid fee balances</w:t>
      </w:r>
    </w:p>
    <w:p>
      <w:pPr>
        <w:pStyle w:val="ListBullet"/>
      </w:pPr>
      <w:r>
        <w:rPr>
          <w:sz w:val="21"/>
        </w:rPr>
        <w:t>Meet the attorney: confirm who reviews denials and closed-session questions</w:t>
      </w:r>
    </w:p>
    <w:p>
      <w:pPr>
        <w:pStyle w:val="ListBullet"/>
      </w:pPr>
      <w:r>
        <w:rPr>
          <w:sz w:val="21"/>
        </w:rPr>
        <w:t>Check the website: are the FOIA summary, procedures, meeting schedule, and minutes actually posted where the public can find them?</w:t>
      </w:r>
    </w:p>
    <w:p>
      <w:pPr>
        <w:spacing w:before="240"/>
      </w:pPr>
      <w:r>
        <w:rPr>
          <w:b/>
          <w:color w:val="1B2A3D"/>
          <w:sz w:val="26"/>
        </w:rPr>
        <w:t>Months 2-3: build the system</w:t>
      </w:r>
    </w:p>
    <w:p>
      <w:pPr>
        <w:pStyle w:val="ListBullet"/>
      </w:pPr>
      <w:r>
        <w:rPr>
          <w:sz w:val="21"/>
        </w:rPr>
        <w:t>Adopt a single intake channel for FOIA (one inbox or portal) so nothing arrives unlogged</w:t>
      </w:r>
    </w:p>
    <w:p>
      <w:pPr>
        <w:pStyle w:val="ListBullet"/>
      </w:pPr>
      <w:r>
        <w:rPr>
          <w:sz w:val="21"/>
        </w:rPr>
        <w:t>Create response templates: acknowledgment, extension notice, grant, denial with exemption citations, fee estimate</w:t>
      </w:r>
    </w:p>
    <w:p>
      <w:pPr>
        <w:pStyle w:val="ListBullet"/>
      </w:pPr>
      <w:r>
        <w:rPr>
          <w:sz w:val="21"/>
        </w:rPr>
        <w:t>Reconcile the retention schedule (General Schedule #31) against what the office actually keeps; document anything destroyed</w:t>
      </w:r>
    </w:p>
    <w:p>
      <w:pPr>
        <w:pStyle w:val="ListBullet"/>
      </w:pPr>
      <w:r>
        <w:rPr>
          <w:sz w:val="21"/>
        </w:rPr>
        <w:t>Cross-train a deputy on the FOIA log and minutes workflow</w:t>
      </w:r>
    </w:p>
    <w:p>
      <w:pPr>
        <w:pStyle w:val="ListBullet"/>
      </w:pPr>
      <w:r>
        <w:rPr>
          <w:sz w:val="21"/>
        </w:rPr>
        <w:t>Do one full dry run: receive a request, log it, estimate fees, respond, and file the record trail</w:t>
      </w:r>
    </w:p>
    <w:p>
      <w:r>
        <w:rPr>
          <w:i w:val="0"/>
          <w:sz w:val="22"/>
        </w:rPr>
      </w:r>
    </w:p>
    <w:p>
      <w:r>
        <w:rPr>
          <w:i/>
          <w:sz w:val="16"/>
        </w:rPr>
        <w:t>Template provided free by Dekree (dekree.ai), compliance software for Michigan local government. Educational, not legal advice. Confirm specifics with your municipal attorney.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