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/>
      </w:pPr>
      <w:r>
        <w:rPr>
          <w:b/>
          <w:color w:val="1B2A3D"/>
          <w:sz w:val="32"/>
        </w:rPr>
        <w:t>[PUBLIC BODY NAME]</w:t>
      </w:r>
    </w:p>
    <w:p>
      <w:pPr>
        <w:spacing w:before="40"/>
      </w:pPr>
      <w:r>
        <w:rPr>
          <w:b/>
          <w:color w:val="1B2A3D"/>
          <w:sz w:val="28"/>
        </w:rPr>
        <w:t>Regular Meeting Agenda</w:t>
      </w:r>
    </w:p>
    <w:p>
      <w:r>
        <w:rPr>
          <w:i w:val="0"/>
          <w:sz w:val="22"/>
        </w:rPr>
        <w:t>[Day, Date] at [Time]</w:t>
      </w:r>
    </w:p>
    <w:p>
      <w:r>
        <w:rPr>
          <w:i w:val="0"/>
          <w:sz w:val="22"/>
        </w:rPr>
        <w:t>[Meeting location: name and full street address]</w:t>
      </w:r>
    </w:p>
    <w:p>
      <w:r>
        <w:rPr>
          <w:i w:val="0"/>
          <w:sz w:val="22"/>
        </w:rPr>
      </w:r>
    </w:p>
    <w:p>
      <w:r>
        <w:rPr>
          <w:b/>
          <w:sz w:val="22"/>
        </w:rPr>
        <w:t>1. Call to order</w:t>
      </w:r>
    </w:p>
    <w:p>
      <w:r>
        <w:rPr>
          <w:b/>
          <w:sz w:val="22"/>
        </w:rPr>
        <w:t>2. Roll call</w:t>
      </w:r>
    </w:p>
    <w:p>
      <w:pPr>
        <w:ind w:left="504"/>
      </w:pPr>
      <w:r>
        <w:rPr>
          <w:sz w:val="20"/>
        </w:rPr>
        <w:t>Members present and absent are recorded in the minutes.</w:t>
      </w:r>
    </w:p>
    <w:p>
      <w:r>
        <w:rPr>
          <w:b/>
          <w:sz w:val="22"/>
        </w:rPr>
        <w:t>3. Pledge of Allegiance</w:t>
      </w:r>
    </w:p>
    <w:p>
      <w:pPr>
        <w:ind w:left="504"/>
      </w:pPr>
      <w:r>
        <w:rPr>
          <w:sz w:val="20"/>
        </w:rPr>
        <w:t>Optional; local practice.</w:t>
      </w:r>
    </w:p>
    <w:p>
      <w:r>
        <w:rPr>
          <w:b/>
          <w:sz w:val="22"/>
        </w:rPr>
        <w:t>4. Approval of the agenda</w:t>
      </w:r>
    </w:p>
    <w:p>
      <w:pPr>
        <w:ind w:left="504"/>
      </w:pPr>
      <w:r>
        <w:rPr>
          <w:sz w:val="20"/>
        </w:rPr>
        <w:t>Motion to approve or amend.</w:t>
      </w:r>
    </w:p>
    <w:p>
      <w:r>
        <w:rPr>
          <w:b/>
          <w:sz w:val="22"/>
        </w:rPr>
        <w:t>5. Approval of prior meeting minutes</w:t>
      </w:r>
    </w:p>
    <w:p>
      <w:pPr>
        <w:ind w:left="504"/>
      </w:pPr>
      <w:r>
        <w:rPr>
          <w:sz w:val="20"/>
        </w:rPr>
        <w:t>Proposed minutes of the [date] meeting.</w:t>
      </w:r>
    </w:p>
    <w:p>
      <w:r>
        <w:rPr>
          <w:b/>
          <w:sz w:val="22"/>
        </w:rPr>
        <w:t>6. Public comment</w:t>
      </w:r>
    </w:p>
    <w:p>
      <w:pPr>
        <w:ind w:left="504"/>
      </w:pPr>
      <w:r>
        <w:rPr>
          <w:sz w:val="20"/>
        </w:rPr>
        <w:t>Per the public comment rules established by the body. The Open Meetings Act (MCL 15.263(5)) requires an opportunity for the public to address the body under rules the body establishes.</w:t>
      </w:r>
    </w:p>
    <w:p>
      <w:r>
        <w:rPr>
          <w:b/>
          <w:sz w:val="22"/>
        </w:rPr>
        <w:t>7. Correspondence and communications</w:t>
      </w:r>
    </w:p>
    <w:p>
      <w:r>
        <w:rPr>
          <w:b/>
          <w:sz w:val="22"/>
        </w:rPr>
        <w:t>8. Reports</w:t>
      </w:r>
    </w:p>
    <w:p>
      <w:pPr>
        <w:ind w:left="504"/>
      </w:pPr>
      <w:r>
        <w:rPr>
          <w:sz w:val="20"/>
        </w:rPr>
        <w:t>a. Supervisor / Mayor</w:t>
      </w:r>
    </w:p>
    <w:p>
      <w:pPr>
        <w:ind w:left="504"/>
      </w:pPr>
      <w:r>
        <w:rPr>
          <w:sz w:val="20"/>
        </w:rPr>
        <w:t>b. Clerk</w:t>
      </w:r>
    </w:p>
    <w:p>
      <w:pPr>
        <w:ind w:left="504"/>
      </w:pPr>
      <w:r>
        <w:rPr>
          <w:sz w:val="20"/>
        </w:rPr>
        <w:t>c. Treasurer</w:t>
      </w:r>
    </w:p>
    <w:p>
      <w:pPr>
        <w:ind w:left="504"/>
      </w:pPr>
      <w:r>
        <w:rPr>
          <w:sz w:val="20"/>
        </w:rPr>
        <w:t>d. Committees and commissions</w:t>
      </w:r>
    </w:p>
    <w:p>
      <w:r>
        <w:rPr>
          <w:b/>
          <w:sz w:val="22"/>
        </w:rPr>
        <w:t>9. Unfinished business</w:t>
      </w:r>
    </w:p>
    <w:p>
      <w:pPr>
        <w:ind w:left="504"/>
      </w:pPr>
      <w:r>
        <w:rPr>
          <w:sz w:val="20"/>
        </w:rPr>
        <w:t>a. [Item, with a one-line description]</w:t>
      </w:r>
    </w:p>
    <w:p>
      <w:r>
        <w:rPr>
          <w:b/>
          <w:sz w:val="22"/>
        </w:rPr>
        <w:t>10. New business</w:t>
      </w:r>
    </w:p>
    <w:p>
      <w:pPr>
        <w:ind w:left="504"/>
      </w:pPr>
      <w:r>
        <w:rPr>
          <w:sz w:val="20"/>
        </w:rPr>
        <w:t>a. [Item]</w:t>
      </w:r>
    </w:p>
    <w:p>
      <w:pPr>
        <w:ind w:left="504"/>
      </w:pPr>
      <w:r>
        <w:rPr>
          <w:sz w:val="20"/>
        </w:rPr>
        <w:t>b. [Item]</w:t>
      </w:r>
    </w:p>
    <w:p>
      <w:r>
        <w:rPr>
          <w:b/>
          <w:sz w:val="22"/>
        </w:rPr>
        <w:t>11. Payment of bills</w:t>
      </w:r>
    </w:p>
    <w:p>
      <w:pPr>
        <w:ind w:left="504"/>
      </w:pPr>
      <w:r>
        <w:rPr>
          <w:sz w:val="20"/>
        </w:rPr>
        <w:t>Review and approval of disbursements.</w:t>
      </w:r>
    </w:p>
    <w:p>
      <w:r>
        <w:rPr>
          <w:b/>
          <w:sz w:val="22"/>
        </w:rPr>
        <w:t>12. Second public comment</w:t>
      </w:r>
    </w:p>
    <w:p>
      <w:pPr>
        <w:ind w:left="504"/>
      </w:pPr>
      <w:r>
        <w:rPr>
          <w:sz w:val="20"/>
        </w:rPr>
        <w:t>Optional; local practice.</w:t>
      </w:r>
    </w:p>
    <w:p>
      <w:r>
        <w:rPr>
          <w:b/>
          <w:sz w:val="22"/>
        </w:rPr>
        <w:t>13. Board / council member comments</w:t>
      </w:r>
    </w:p>
    <w:p>
      <w:r>
        <w:rPr>
          <w:b/>
          <w:sz w:val="22"/>
        </w:rPr>
        <w:t>14. Adjournment</w:t>
      </w:r>
    </w:p>
    <w:p>
      <w:r>
        <w:rPr>
          <w:i w:val="0"/>
          <w:sz w:val="22"/>
        </w:rPr>
      </w:r>
    </w:p>
    <w:p>
      <w:r>
        <w:rPr>
          <w:i/>
          <w:sz w:val="18"/>
        </w:rPr>
        <w:t>Posting note: the Open Meetings Act does not dictate agenda contents, but the meeting itself must be noticed correctly. Regular meetings ride the posted annual schedule (MCL 15.265(2)). A special or rescheduled meeting requires a notice posted at least 18 hours in advance stating the date, time, and place (MCL 15.265(4)).</w:t>
      </w:r>
    </w:p>
    <w:p>
      <w:r>
        <w:rPr>
          <w:i/>
          <w:sz w:val="16"/>
        </w:rPr>
        <w:t>Template provided free by Dekree (dekree.ai), compliance software for Michigan local government. Educational, not legal advice. Confirm specifics with your municipal attorney.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